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Organizing Theory Selection Worksheet</w:t>
      </w:r>
    </w:p>
    <w:p>
      <w:pPr>
        <w:pStyle w:val="Subtitle"/>
      </w:pPr>
      <w:r>
        <w:t xml:space="preserve">Choose how we will organize town halls in counties across Georgia. Decide together; surface the dissent; name the trade-offs.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B8C6D6" w:sz="4"/>
              <w:left w:val="single" w:color="B8C6D6" w:sz="4"/>
              <w:bottom w:val="single" w:color="B8C6D6" w:sz="4"/>
              <w:right w:val="single" w:color="B8C6D6" w:sz="4"/>
            </w:tcBorders>
            <w:shd w:fill="EAF1F8" w:val="clear"/>
            <w:tcMar>
              <w:top w:type="dxa" w:w="200"/>
              <w:left w:type="dxa" w:w="220"/>
              <w:bottom w:type="dxa" w:w="200"/>
              <w:right w:type="dxa" w:w="220"/>
            </w:tcMar>
          </w:tcPr>
          <w:p>
            <w:r>
              <w:rPr>
                <w:b/>
                <w:bCs/>
                <w:color w:val="1A365D"/>
              </w:rPr>
              <w:t xml:space="preserve">The fight in front of us.  </w:t>
            </w:r>
          </w:p>
          <w:p>
            <w:r>
              <w:rPr>
                <w:sz w:val="22"/>
                <w:szCs w:val="22"/>
              </w:rPr>
              <w:t xml:space="preserve">In Louisiana v. Callais, the Supreme Court is poised to gut Section 2 of the Voting Rights Act. If it does, Georgia could lose two minority opportunity congressional districts and shift from a 5 to 9 D-R delegation toward a 3 to 11 split, with 191 state legislative seats at risk across the South. Map-makers in Atlanta will be tempted to redraw racialized lines without legal restraint. Our affirmative answer: pass the Georgia Voting Rights Act of 2026 (a state-level Section 2) and hold every state legislator accountable to vote for it and against racially gerrymandered maps. County town halls are where that accountability happens in public.</w:t>
            </w:r>
          </w:p>
        </w:tc>
      </w:tr>
    </w:tbl>
    <w:p>
      <w:pPr>
        <w:spacing w:after="160"/>
      </w:pPr>
    </w:p>
    <w:p>
      <w:pPr>
        <w:pStyle w:val="Heading1"/>
      </w:pPr>
      <w:r>
        <w:t xml:space="preserve">How to use this worksheet</w:t>
      </w:r>
    </w:p>
    <w:p>
      <w:pPr>
        <w:pStyle w:val="ListParagraph"/>
        <w:numPr>
          <w:ilvl w:val="0"/>
          <w:numId w:val="2"/>
        </w:numPr>
      </w:pPr>
      <w:r>
        <w:t xml:space="preserve">Read all 7 theory cards together (about 20 minutes). One person reads each card aloud; do not skip ahead.</w:t>
      </w:r>
    </w:p>
    <w:p>
      <w:pPr>
        <w:pStyle w:val="ListParagraph"/>
        <w:numPr>
          <w:ilvl w:val="0"/>
          <w:numId w:val="2"/>
        </w:numPr>
      </w:pPr>
      <w:r>
        <w:t xml:space="preserve">Score the matrix individually first (5 minutes). No talking. Each person fills in their own scores 1 (poor fit) to 5 (strong fit) in the cells.</w:t>
      </w:r>
    </w:p>
    <w:p>
      <w:pPr>
        <w:pStyle w:val="ListParagraph"/>
        <w:numPr>
          <w:ilvl w:val="0"/>
          <w:numId w:val="2"/>
        </w:numPr>
      </w:pPr>
      <w:r>
        <w:t xml:space="preserve">Compare scores out loud. Where you disagree by 2 or more points, stop and ask why before averaging.</w:t>
      </w:r>
    </w:p>
    <w:p>
      <w:pPr>
        <w:pStyle w:val="ListParagraph"/>
        <w:numPr>
          <w:ilvl w:val="0"/>
          <w:numId w:val="2"/>
        </w:numPr>
      </w:pPr>
      <w:r>
        <w:t xml:space="preserve">Surface the dissent before you decide. The "least excited" voice is often the most-impacted voice.</w:t>
      </w:r>
    </w:p>
    <w:p>
      <w:pPr>
        <w:pStyle w:val="ListParagraph"/>
        <w:numPr>
          <w:ilvl w:val="0"/>
          <w:numId w:val="2"/>
        </w:numPr>
      </w:pPr>
      <w:r>
        <w:t xml:space="preserve">Decide collectively. The decision is not the highest-scoring theory; it is the theory the room can actually run with integrity.</w:t>
      </w:r>
    </w:p>
    <w:p>
      <w:pPr>
        <w:pStyle w:val="Heading1"/>
      </w:pPr>
      <w:r>
        <w:t xml:space="preserve">The 7 theories</w:t>
      </w:r>
    </w:p>
    <w:p>
      <w:pPr>
        <w:spacing w:after="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7880"/>
      </w:tblGrid>
      <w:tr>
        <w:tc>
          <w:tcPr>
            <w:tcW w:type="dxa" w:w="10080"/>
            <w:gridSpan w:val="2"/>
            <w:tcBorders>
              <w:top w:val="single" w:color="B8C6D6" w:sz="4"/>
              <w:left w:val="single" w:color="B8C6D6" w:sz="4"/>
              <w:bottom w:val="single" w:color="B8C6D6" w:sz="4"/>
              <w:right w:val="single" w:color="B8C6D6" w:sz="4"/>
            </w:tcBorders>
            <w:shd w:fill="1F4E79" w:val="clear"/>
            <w:tcMar>
              <w:top w:type="dxa" w:w="120"/>
              <w:left w:type="dxa" w:w="180"/>
              <w:bottom w:type="dxa" w:w="120"/>
              <w:right w:type="dxa" w:w="180"/>
            </w:tcMar>
          </w:tcPr>
          <w:p>
            <w:r>
              <w:rPr>
                <w:b/>
                <w:bCs/>
                <w:color w:val="FFFFFF"/>
                <w:sz w:val="22"/>
                <w:szCs w:val="22"/>
              </w:rPr>
              <w:t xml:space="preserve">THEORY 1.  </w:t>
            </w:r>
            <w:r>
              <w:rPr>
                <w:b/>
                <w:bCs/>
                <w:color w:val="FFFFFF"/>
                <w:sz w:val="24"/>
                <w:szCs w:val="24"/>
              </w:rPr>
              <w:t xml:space="preserve">Public Narrative Organizing</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Lineage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Marshall Ganz (Harvard Kennedy School); roots in UFW + civil rights organizing</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Core idea</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Build power by braiding three stories: Story of Self (why I am called), Story of Us (our shared values), Story of Now (the urgent choice). Relationships first; people are recruited one-to-one through public narrative training.</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What it looks like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House meetings, 1:1s, story-coaching sessions, leadership teams (snowflake structure), volunteer-led town halls.</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Strengths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Develops leaders, not just bodies. Ties personal story to collective action. Travels well across counties.</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Watch-outs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Slow to scale; coaches must be trained; can over-rely on a single charismatic narrator if the team is thin.</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Time horizon</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Medium to long (3 to 12 months to mature a leadership team)</w:t>
            </w:r>
          </w:p>
        </w:tc>
      </w:tr>
    </w:tbl>
    <w:p>
      <w:pPr>
        <w:spacing w:after="120"/>
      </w:pPr>
    </w:p>
    <w:p>
      <w:pPr>
        <w:spacing w:after="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7880"/>
      </w:tblGrid>
      <w:tr>
        <w:tc>
          <w:tcPr>
            <w:tcW w:type="dxa" w:w="10080"/>
            <w:gridSpan w:val="2"/>
            <w:tcBorders>
              <w:top w:val="single" w:color="B8C6D6" w:sz="4"/>
              <w:left w:val="single" w:color="B8C6D6" w:sz="4"/>
              <w:bottom w:val="single" w:color="B8C6D6" w:sz="4"/>
              <w:right w:val="single" w:color="B8C6D6" w:sz="4"/>
            </w:tcBorders>
            <w:shd w:fill="1F4E79" w:val="clear"/>
            <w:tcMar>
              <w:top w:type="dxa" w:w="120"/>
              <w:left w:type="dxa" w:w="180"/>
              <w:bottom w:type="dxa" w:w="120"/>
              <w:right w:type="dxa" w:w="180"/>
            </w:tcMar>
          </w:tcPr>
          <w:p>
            <w:r>
              <w:rPr>
                <w:b/>
                <w:bCs/>
                <w:color w:val="FFFFFF"/>
                <w:sz w:val="22"/>
                <w:szCs w:val="22"/>
              </w:rPr>
              <w:t xml:space="preserve">THEORY 2.  </w:t>
            </w:r>
            <w:r>
              <w:rPr>
                <w:b/>
                <w:bCs/>
                <w:color w:val="FFFFFF"/>
                <w:sz w:val="24"/>
                <w:szCs w:val="24"/>
              </w:rPr>
              <w:t xml:space="preserve">Power-Based / Alinsky Tradition</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Lineage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Saul Alinsky; Industrial Areas Foundation (IAF), PICO/Faith in Action, Gamaliel</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Core idea</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Build durable institutions of institutions (congregations, unions, civic groups). Run a power analysis on every fight: who has the power, what do they want, what do we have that they need. Hold accountability sessions where electeds answer yes or no in front of a packed room.</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What it looks like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Big accountability assemblies (500 to 2,000 people), pinned-down yes/no asks, clergy + congregational base, public reckoning.</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Strengths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Wins concrete commitments; builds long-term institutional power; very effective on local legislators.</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Watch-outs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Confrontational style can alienate moderate allies; risks transactional posture if relational work is shallow; gendered/raced power dynamics inside IAF have been critiqued.</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Time horizon</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Medium (8 to 16 weeks to a credible accountability session)</w:t>
            </w:r>
          </w:p>
        </w:tc>
      </w:tr>
    </w:tbl>
    <w:p>
      <w:pPr>
        <w:spacing w:after="120"/>
      </w:pPr>
    </w:p>
    <w:p>
      <w:pPr>
        <w:spacing w:after="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7880"/>
      </w:tblGrid>
      <w:tr>
        <w:tc>
          <w:tcPr>
            <w:tcW w:type="dxa" w:w="10080"/>
            <w:gridSpan w:val="2"/>
            <w:tcBorders>
              <w:top w:val="single" w:color="B8C6D6" w:sz="4"/>
              <w:left w:val="single" w:color="B8C6D6" w:sz="4"/>
              <w:bottom w:val="single" w:color="B8C6D6" w:sz="4"/>
              <w:right w:val="single" w:color="B8C6D6" w:sz="4"/>
            </w:tcBorders>
            <w:shd w:fill="1F4E79" w:val="clear"/>
            <w:tcMar>
              <w:top w:type="dxa" w:w="120"/>
              <w:left w:type="dxa" w:w="180"/>
              <w:bottom w:type="dxa" w:w="120"/>
              <w:right w:type="dxa" w:w="180"/>
            </w:tcMar>
          </w:tcPr>
          <w:p>
            <w:r>
              <w:rPr>
                <w:b/>
                <w:bCs/>
                <w:color w:val="FFFFFF"/>
                <w:sz w:val="22"/>
                <w:szCs w:val="22"/>
              </w:rPr>
              <w:t xml:space="preserve">THEORY 3.  </w:t>
            </w:r>
            <w:r>
              <w:rPr>
                <w:b/>
                <w:bCs/>
                <w:color w:val="FFFFFF"/>
                <w:sz w:val="24"/>
                <w:szCs w:val="24"/>
              </w:rPr>
              <w:t xml:space="preserve">Deep Canvassing</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Lineage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Leadership LAB (Los Angeles); David Fleischer; New Conversation Initiative</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Core idea</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Long, non-judgmental, two-way conversations at the door (15 to 25 minutes) that surface a voter’s own story to durably shift attitudes. Persuasion over turnout.</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What it looks like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Trained canvassers in pairs, deep door-knocking shifts, recorded calls, debrief huddles that center listening.</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Strengths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Evidence-based attitude shift on hard issues (race, immigration, trans rights); can move persuadables that traditional canvassing writes off.</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Watch-outs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Labor-intensive; few conversations per shift; requires skilled coaching; not a turnout tool by itself.</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Time horizon</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Medium (each campaign is 6 to 10 weeks; durable shifts measured at 3 to 4 months)</w:t>
            </w:r>
          </w:p>
        </w:tc>
      </w:tr>
    </w:tbl>
    <w:p>
      <w:pPr>
        <w:spacing w:after="120"/>
      </w:pPr>
    </w:p>
    <w:p>
      <w:pPr>
        <w:spacing w:after="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7880"/>
      </w:tblGrid>
      <w:tr>
        <w:tc>
          <w:tcPr>
            <w:tcW w:type="dxa" w:w="10080"/>
            <w:gridSpan w:val="2"/>
            <w:tcBorders>
              <w:top w:val="single" w:color="B8C6D6" w:sz="4"/>
              <w:left w:val="single" w:color="B8C6D6" w:sz="4"/>
              <w:bottom w:val="single" w:color="B8C6D6" w:sz="4"/>
              <w:right w:val="single" w:color="B8C6D6" w:sz="4"/>
            </w:tcBorders>
            <w:shd w:fill="1F4E79" w:val="clear"/>
            <w:tcMar>
              <w:top w:type="dxa" w:w="120"/>
              <w:left w:type="dxa" w:w="180"/>
              <w:bottom w:type="dxa" w:w="120"/>
              <w:right w:type="dxa" w:w="180"/>
            </w:tcMar>
          </w:tcPr>
          <w:p>
            <w:r>
              <w:rPr>
                <w:b/>
                <w:bCs/>
                <w:color w:val="FFFFFF"/>
                <w:sz w:val="22"/>
                <w:szCs w:val="22"/>
              </w:rPr>
              <w:t xml:space="preserve">THEORY 4.  </w:t>
            </w:r>
            <w:r>
              <w:rPr>
                <w:b/>
                <w:bCs/>
                <w:color w:val="FFFFFF"/>
                <w:sz w:val="24"/>
                <w:szCs w:val="24"/>
              </w:rPr>
              <w:t xml:space="preserve">Base-Building / Movement Organizing</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Lineage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LUCHA, NDWA, Cosecha, Movimiento Cosecha, SONG; legacy of welfare rights and tenant unions</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Core idea</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Build a dues-paying, member-led base in directly impacted communities. Members set the agenda; staff are accountable to members. Slow, deep, multi-generational power building.</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What it looks like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Member meetings, leadership ladders, escalating direct action, electoral arms (501c4) coupled with c3 base.</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Strengths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Most-impacted lead in fact, not just rhetoric; durable across election cycles; strong on issue + electoral fights.</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Watch-outs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Years to build; resource-intensive; sometimes tension with coalition timelines that move faster than a base can.</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Time horizon</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Long (years; town halls are checkpoints, not the campaign)</w:t>
            </w:r>
          </w:p>
        </w:tc>
      </w:tr>
    </w:tbl>
    <w:p>
      <w:pPr>
        <w:spacing w:after="120"/>
      </w:pPr>
    </w:p>
    <w:p>
      <w:pPr>
        <w:spacing w:after="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7880"/>
      </w:tblGrid>
      <w:tr>
        <w:tc>
          <w:tcPr>
            <w:tcW w:type="dxa" w:w="10080"/>
            <w:gridSpan w:val="2"/>
            <w:tcBorders>
              <w:top w:val="single" w:color="B8C6D6" w:sz="4"/>
              <w:left w:val="single" w:color="B8C6D6" w:sz="4"/>
              <w:bottom w:val="single" w:color="B8C6D6" w:sz="4"/>
              <w:right w:val="single" w:color="B8C6D6" w:sz="4"/>
            </w:tcBorders>
            <w:shd w:fill="1F4E79" w:val="clear"/>
            <w:tcMar>
              <w:top w:type="dxa" w:w="120"/>
              <w:left w:type="dxa" w:w="180"/>
              <w:bottom w:type="dxa" w:w="120"/>
              <w:right w:type="dxa" w:w="180"/>
            </w:tcMar>
          </w:tcPr>
          <w:p>
            <w:r>
              <w:rPr>
                <w:b/>
                <w:bCs/>
                <w:color w:val="FFFFFF"/>
                <w:sz w:val="22"/>
                <w:szCs w:val="22"/>
              </w:rPr>
              <w:t xml:space="preserve">THEORY 5.  </w:t>
            </w:r>
            <w:r>
              <w:rPr>
                <w:b/>
                <w:bCs/>
                <w:color w:val="FFFFFF"/>
                <w:sz w:val="24"/>
                <w:szCs w:val="24"/>
              </w:rPr>
              <w:t xml:space="preserve">Distributed / Digital-First Organizing</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Lineage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Becky Bond + Zack Exley (Sanders 2016, Markey 2020), Movement Cooperative, Mobilize</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Core idea</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Big, public ask + clear ladder of engagement. Use digital tools (Slack, Zoom, peer-to-peer texting, Mobilize) to scale volunteer leadership across geographies. Distributed teams own pieces of the campaign end-to-end.</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What it looks like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Mass volunteer onboarding calls, distributed phonebanks, captain teams running their own counties, asynchronous Slack hubs.</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Strengths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Scales fast; reaches counties that lack staffed organizers; lowers cost per contact; great for parallel town halls.</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Watch-outs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Can be shallow if relational depth is skipped; digital divide excludes some of the most-impacted; volunteer burnout if coaching is thin.</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Time horizon</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Short to medium (4 to 12 weeks to stand up county teams)</w:t>
            </w:r>
          </w:p>
        </w:tc>
      </w:tr>
    </w:tbl>
    <w:p>
      <w:pPr>
        <w:spacing w:after="120"/>
      </w:pPr>
    </w:p>
    <w:p>
      <w:pPr>
        <w:spacing w:after="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7880"/>
      </w:tblGrid>
      <w:tr>
        <w:tc>
          <w:tcPr>
            <w:tcW w:type="dxa" w:w="10080"/>
            <w:gridSpan w:val="2"/>
            <w:tcBorders>
              <w:top w:val="single" w:color="B8C6D6" w:sz="4"/>
              <w:left w:val="single" w:color="B8C6D6" w:sz="4"/>
              <w:bottom w:val="single" w:color="B8C6D6" w:sz="4"/>
              <w:right w:val="single" w:color="B8C6D6" w:sz="4"/>
            </w:tcBorders>
            <w:shd w:fill="1F4E79" w:val="clear"/>
            <w:tcMar>
              <w:top w:type="dxa" w:w="120"/>
              <w:left w:type="dxa" w:w="180"/>
              <w:bottom w:type="dxa" w:w="120"/>
              <w:right w:type="dxa" w:w="180"/>
            </w:tcMar>
          </w:tcPr>
          <w:p>
            <w:r>
              <w:rPr>
                <w:b/>
                <w:bCs/>
                <w:color w:val="FFFFFF"/>
                <w:sz w:val="22"/>
                <w:szCs w:val="22"/>
              </w:rPr>
              <w:t xml:space="preserve">THEORY 6.  </w:t>
            </w:r>
            <w:r>
              <w:rPr>
                <w:b/>
                <w:bCs/>
                <w:color w:val="FFFFFF"/>
                <w:sz w:val="24"/>
                <w:szCs w:val="24"/>
              </w:rPr>
              <w:t xml:space="preserve">Mutual Aid-Led Organizing</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Lineage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Black Panthers free breakfast, disability justice networks, COVID-19 mutual aid pods, Dean Spade</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Core idea</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Meet material needs first (food, rides, childcare, bail, housing) and build political relationships through that work. Solidarity, not charity.</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What it looks like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Pods, food drops, ride networks, fund-the-people circles, town halls hosted at sites where mutual aid already happens.</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Strengths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Builds trust with people who have been failed by formal institutions; centers disabled, undocumented, low-income leaders; produces real survival outcomes alongside political ones.</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Watch-outs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Mutual aid is not automatically political; takes intention to bridge survival work and policy power; can be co-opted as charity if the politics are not named.</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Time horizon</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Long; organic, but the town hall becomes a node in an existing care network</w:t>
            </w:r>
          </w:p>
        </w:tc>
      </w:tr>
    </w:tbl>
    <w:p>
      <w:pPr>
        <w:spacing w:after="120"/>
      </w:pPr>
    </w:p>
    <w:p>
      <w:pPr>
        <w:spacing w:after="6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7880"/>
      </w:tblGrid>
      <w:tr>
        <w:tc>
          <w:tcPr>
            <w:tcW w:type="dxa" w:w="10080"/>
            <w:gridSpan w:val="2"/>
            <w:tcBorders>
              <w:top w:val="single" w:color="B8C6D6" w:sz="4"/>
              <w:left w:val="single" w:color="B8C6D6" w:sz="4"/>
              <w:bottom w:val="single" w:color="B8C6D6" w:sz="4"/>
              <w:right w:val="single" w:color="B8C6D6" w:sz="4"/>
            </w:tcBorders>
            <w:shd w:fill="1F4E79" w:val="clear"/>
            <w:tcMar>
              <w:top w:type="dxa" w:w="120"/>
              <w:left w:type="dxa" w:w="180"/>
              <w:bottom w:type="dxa" w:w="120"/>
              <w:right w:type="dxa" w:w="180"/>
            </w:tcMar>
          </w:tcPr>
          <w:p>
            <w:r>
              <w:rPr>
                <w:b/>
                <w:bCs/>
                <w:color w:val="FFFFFF"/>
                <w:sz w:val="22"/>
                <w:szCs w:val="22"/>
              </w:rPr>
              <w:t xml:space="preserve">THEORY 7.  </w:t>
            </w:r>
            <w:r>
              <w:rPr>
                <w:b/>
                <w:bCs/>
                <w:color w:val="FFFFFF"/>
                <w:sz w:val="24"/>
                <w:szCs w:val="24"/>
              </w:rPr>
              <w:t xml:space="preserve">Transformational vs. Transactional (meta-frame)</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Lineage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Harmony Goldberg, Ai-jen Poo, healing justice tradition</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Core idea</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Not a separate method: a posture you choose for any of the above. Transactional: get the vote, get the body, win the ask. Transformational: change the people doing the work, shift relationships of power, build leaders who outlast the campaign.</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What it looks like</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Reflection time built into every action; political education; healing and care practices; debriefs that ask who grew, not just what we won.</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Strengths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Sustains organizers over decades; produces leaders, not just supporters; lines up with curriculum values (most-impacted leading, repair owed, dissent surfaced).</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Watch-outs</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Easy to claim, hard to practice; can become an excuse for slow movement if it is not paired with concrete wins.</w:t>
            </w:r>
          </w:p>
        </w:tc>
      </w:tr>
      <w:tr>
        <w:tc>
          <w:tcPr>
            <w:tcW w:type="dxa" w:w="220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Time horizon</w:t>
            </w:r>
          </w:p>
        </w:tc>
        <w:tc>
          <w:tcPr>
            <w:tcW w:type="dxa" w:w="7880"/>
            <w:tcBorders>
              <w:top w:val="single" w:color="B8C6D6" w:sz="4"/>
              <w:left w:val="single" w:color="B8C6D6" w:sz="4"/>
              <w:bottom w:val="single" w:color="B8C6D6" w:sz="4"/>
              <w:right w:val="single" w:color="B8C6D6" w:sz="4"/>
            </w:tcBorders>
            <w:tcMar>
              <w:top w:type="dxa" w:w="100"/>
              <w:left w:type="dxa" w:w="140"/>
              <w:bottom w:type="dxa" w:w="100"/>
              <w:right w:type="dxa" w:w="140"/>
            </w:tcMar>
          </w:tcPr>
          <w:p>
            <w:r>
              <w:rPr>
                <w:sz w:val="22"/>
                <w:szCs w:val="22"/>
              </w:rPr>
              <w:t xml:space="preserve">Cross-cutting (applied to whichever theory you choose)</w:t>
            </w:r>
          </w:p>
        </w:tc>
      </w:tr>
    </w:tbl>
    <w:p>
      <w:pPr>
        <w:spacing w:after="120"/>
      </w:pPr>
    </w:p>
    <w:p>
      <w:r>
        <w:br w:type="page"/>
      </w:r>
    </w:p>
    <w:p>
      <w:pPr>
        <w:pStyle w:val="Heading1"/>
      </w:pPr>
      <w:r>
        <w:t xml:space="preserve">Step 1. Score each theory against our criteria</w:t>
      </w:r>
    </w:p>
    <w:p>
      <w:r>
        <w:rPr>
          <w:i/>
          <w:iCs/>
          <w:color w:val="4B5E73"/>
          <w:sz w:val="20"/>
          <w:szCs w:val="20"/>
        </w:rPr>
        <w:t xml:space="preserve">Score 1 (poor fit) to 5 (strong fit). T1 to T7 correspond to the theories above.</w:t>
      </w:r>
    </w:p>
    <w:p>
      <w:pPr>
        <w:spacing w:after="12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920"/>
        <w:gridCol w:w="880"/>
        <w:gridCol w:w="880"/>
        <w:gridCol w:w="880"/>
        <w:gridCol w:w="880"/>
        <w:gridCol w:w="880"/>
        <w:gridCol w:w="880"/>
        <w:gridCol w:w="880"/>
      </w:tblGrid>
      <w:tr>
        <w:trPr>
          <w:tblHeader/>
        </w:trPr>
        <w:tc>
          <w:tcPr>
            <w:tcW w:type="dxa" w:w="392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Criterion (score 1 to 5)</w:t>
            </w:r>
          </w:p>
        </w:tc>
        <w:tc>
          <w:tcPr>
            <w:tcW w:type="dxa" w:w="88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T1</w:t>
            </w:r>
          </w:p>
        </w:tc>
        <w:tc>
          <w:tcPr>
            <w:tcW w:type="dxa" w:w="88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T2</w:t>
            </w:r>
          </w:p>
        </w:tc>
        <w:tc>
          <w:tcPr>
            <w:tcW w:type="dxa" w:w="88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T3</w:t>
            </w:r>
          </w:p>
        </w:tc>
        <w:tc>
          <w:tcPr>
            <w:tcW w:type="dxa" w:w="88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T4</w:t>
            </w:r>
          </w:p>
        </w:tc>
        <w:tc>
          <w:tcPr>
            <w:tcW w:type="dxa" w:w="88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T5</w:t>
            </w:r>
          </w:p>
        </w:tc>
        <w:tc>
          <w:tcPr>
            <w:tcW w:type="dxa" w:w="88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T6</w:t>
            </w:r>
          </w:p>
        </w:tc>
        <w:tc>
          <w:tcPr>
            <w:tcW w:type="dxa" w:w="880"/>
            <w:tcBorders>
              <w:top w:val="single" w:color="B8C6D6" w:sz="4"/>
              <w:left w:val="single" w:color="B8C6D6" w:sz="4"/>
              <w:bottom w:val="single" w:color="B8C6D6" w:sz="4"/>
              <w:right w:val="single" w:color="B8C6D6" w:sz="4"/>
            </w:tcBorders>
            <w:shd w:fill="1A365D" w:val="clear"/>
            <w:tcMar>
              <w:top w:type="dxa" w:w="100"/>
              <w:left w:type="dxa" w:w="140"/>
              <w:bottom w:type="dxa" w:w="100"/>
              <w:right w:type="dxa" w:w="140"/>
            </w:tcMar>
          </w:tcPr>
          <w:p>
            <w:r>
              <w:rPr>
                <w:b/>
                <w:bCs/>
                <w:color w:val="FFFFFF"/>
                <w:sz w:val="22"/>
                <w:szCs w:val="22"/>
              </w:rPr>
              <w:t xml:space="preserve">T7</w:t>
            </w:r>
          </w:p>
        </w:tc>
      </w:tr>
      <w:tr>
        <w:tc>
          <w:tcPr>
            <w:tcW w:type="dxa" w:w="392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Fits our 12-week window</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392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Matches our capacity (volunteers, $, skills)</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392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Most-impacted lead in fact, not symbol</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392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Moves the GA VRA Act 2026 / map fight</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392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Measurable outcomes we can name now</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392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Acceptable risk and trade-offs</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r>
        <w:tc>
          <w:tcPr>
            <w:tcW w:type="dxa" w:w="3920"/>
            <w:tcBorders>
              <w:top w:val="single" w:color="B8C6D6" w:sz="4"/>
              <w:left w:val="single" w:color="B8C6D6" w:sz="4"/>
              <w:bottom w:val="single" w:color="B8C6D6" w:sz="4"/>
              <w:right w:val="single" w:color="B8C6D6" w:sz="4"/>
            </w:tcBorders>
            <w:shd w:fill="3A78B8" w:val="clear"/>
            <w:tcMar>
              <w:top w:type="dxa" w:w="100"/>
              <w:left w:type="dxa" w:w="140"/>
              <w:bottom w:type="dxa" w:w="100"/>
              <w:right w:type="dxa" w:w="140"/>
            </w:tcMar>
          </w:tcPr>
          <w:p>
            <w:r>
              <w:rPr>
                <w:b/>
                <w:bCs/>
                <w:color w:val="FFFFFF"/>
                <w:sz w:val="22"/>
                <w:szCs w:val="22"/>
              </w:rPr>
              <w:t xml:space="preserve">Total (sum)</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c>
          <w:tcPr>
            <w:tcW w:type="dxa" w:w="8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 </w:t>
            </w:r>
          </w:p>
        </w:tc>
      </w:tr>
    </w:tbl>
    <w:p>
      <w:pPr>
        <w:spacing w:after="240"/>
      </w:pPr>
    </w:p>
    <w:p>
      <w:pPr>
        <w:pStyle w:val="Heading1"/>
      </w:pPr>
      <w:r>
        <w:t xml:space="preserve">Step 2. Surface the dissent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gridSpan w:val="1"/>
            <w:tcBorders>
              <w:top w:val="single" w:color="B8C6D6" w:sz="4"/>
              <w:left w:val="single" w:color="B8C6D6" w:sz="4"/>
              <w:bottom w:val="single" w:color="B8C6D6" w:sz="4"/>
              <w:right w:val="single" w:color="B8C6D6" w:sz="4"/>
            </w:tcBorders>
            <w:shd w:fill="B5293E" w:val="clear"/>
            <w:tcMar>
              <w:top w:type="dxa" w:w="120"/>
              <w:left w:type="dxa" w:w="180"/>
              <w:bottom w:type="dxa" w:w="120"/>
              <w:right w:type="dxa" w:w="180"/>
            </w:tcMar>
          </w:tcPr>
          <w:p>
            <w:r>
              <w:rPr>
                <w:rFonts w:ascii="Calibri" w:cs="Calibri" w:eastAsia="Calibri" w:hAnsi="Calibri"/>
                <w:b/>
                <w:bCs/>
                <w:color w:val="FFFFFF"/>
                <w:sz w:val="24"/>
                <w:szCs w:val="24"/>
              </w:rPr>
              <w:t xml:space="preserve">SURFACE THE DISSENT (do not skip this)</w:t>
            </w:r>
          </w:p>
        </w:tc>
      </w:tr>
      <w:tr>
        <w:tc>
          <w:tcPr>
            <w:tcW w:type="dxa" w:w="1008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Who in the room is least excited about the top-scoring theory? Why? Write their concern in their own words.</w:t>
            </w:r>
          </w:p>
        </w:tc>
      </w:tr>
      <w:tr>
        <w:tc>
          <w:tcPr>
            <w:tcW w:type="dxa" w:w="10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“I’m worried Alinsky-style accountability sessions will scare off the church seniors who already do not feel safe at the Capitol. We promised them this would be different.” (Pastor J. Reed)</w:t>
            </w:r>
          </w:p>
        </w:tc>
      </w:tr>
      <w:tr>
        <w:tc>
          <w:tcPr>
            <w:tcW w:type="dxa" w:w="1008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What change to the plan would make it a yes for them?</w:t>
            </w:r>
          </w:p>
        </w:tc>
      </w:tr>
      <w:tr>
        <w:tc>
          <w:tcPr>
            <w:tcW w:type="dxa" w:w="10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Capture the specific modification, not a general reassurance.</w:t>
            </w:r>
          </w:p>
        </w:tc>
      </w:tr>
      <w:tr>
        <w:tc>
          <w:tcPr>
            <w:tcW w:type="dxa" w:w="1008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Most-impacted check: do the people most affected by racialized maps in this county say this is the right theory?</w:t>
            </w:r>
          </w:p>
        </w:tc>
      </w:tr>
      <w:tr>
        <w:tc>
          <w:tcPr>
            <w:tcW w:type="dxa" w:w="10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Name the people, not just the demographic. If they are not in the room, pause and bring them in before deciding.</w:t>
            </w:r>
          </w:p>
        </w:tc>
      </w:tr>
    </w:tbl>
    <w:p>
      <w:pPr>
        <w:spacing w:after="240"/>
      </w:pPr>
    </w:p>
    <w:p>
      <w:pPr>
        <w:pStyle w:val="Heading1"/>
      </w:pPr>
      <w:r>
        <w:t xml:space="preserve">Step 3. Decide collectively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gridSpan w:val="1"/>
            <w:tcBorders>
              <w:top w:val="single" w:color="B8C6D6" w:sz="4"/>
              <w:left w:val="single" w:color="B8C6D6" w:sz="4"/>
              <w:bottom w:val="single" w:color="B8C6D6" w:sz="4"/>
              <w:right w:val="single" w:color="B8C6D6" w:sz="4"/>
            </w:tcBorders>
            <w:shd w:fill="1F4E79" w:val="clear"/>
            <w:tcMar>
              <w:top w:type="dxa" w:w="120"/>
              <w:left w:type="dxa" w:w="180"/>
              <w:bottom w:type="dxa" w:w="120"/>
              <w:right w:type="dxa" w:w="180"/>
            </w:tcMar>
          </w:tcPr>
          <w:p>
            <w:r>
              <w:rPr>
                <w:rFonts w:ascii="Calibri" w:cs="Calibri" w:eastAsia="Calibri" w:hAnsi="Calibri"/>
                <w:b/>
                <w:bCs/>
                <w:color w:val="FFFFFF"/>
                <w:sz w:val="24"/>
                <w:szCs w:val="24"/>
              </w:rPr>
              <w:t xml:space="preserve">OUR COLLECTIVE DECISION</w:t>
            </w:r>
          </w:p>
        </w:tc>
      </w:tr>
      <w:tr>
        <w:tc>
          <w:tcPr>
            <w:tcW w:type="dxa" w:w="1008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Primary theory we will use to organize our county town halls</w:t>
            </w:r>
          </w:p>
        </w:tc>
      </w:tr>
      <w:tr>
        <w:tc>
          <w:tcPr>
            <w:tcW w:type="dxa" w:w="10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Public Narrative Organizing as the spine; distributed/digital tools to scale across counties.</w:t>
            </w:r>
          </w:p>
        </w:tc>
      </w:tr>
      <w:tr>
        <w:tc>
          <w:tcPr>
            <w:tcW w:type="dxa" w:w="1008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Secondary theory we will braid in (and where)</w:t>
            </w:r>
          </w:p>
        </w:tc>
      </w:tr>
      <w:tr>
        <w:tc>
          <w:tcPr>
            <w:tcW w:type="dxa" w:w="10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Power-based accountability session as the culminating moment in week 10; mutual aid pods host the venues.</w:t>
            </w:r>
          </w:p>
        </w:tc>
      </w:tr>
      <w:tr>
        <w:tc>
          <w:tcPr>
            <w:tcW w:type="dxa" w:w="1008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Posture: are we choosing transformational or transactional? How will we know?</w:t>
            </w:r>
          </w:p>
        </w:tc>
      </w:tr>
      <w:tr>
        <w:tc>
          <w:tcPr>
            <w:tcW w:type="dxa" w:w="10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Name a measurable: e.g., “At least 3 new constituent leaders in each county can run a 1:1 by week 8.”</w:t>
            </w:r>
          </w:p>
        </w:tc>
      </w:tr>
      <w:tr>
        <w:tc>
          <w:tcPr>
            <w:tcW w:type="dxa" w:w="1008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What we are explicitly NOT doing (so the plan stays focused)</w:t>
            </w:r>
          </w:p>
        </w:tc>
      </w:tr>
      <w:tr>
        <w:tc>
          <w:tcPr>
            <w:tcW w:type="dxa" w:w="10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e.g., We are not running a deep canvass program this cycle; we will pilot one in 2027 with two counties.</w:t>
            </w:r>
          </w:p>
        </w:tc>
      </w:tr>
      <w:tr>
        <w:tc>
          <w:tcPr>
            <w:tcW w:type="dxa" w:w="10080"/>
            <w:tcBorders>
              <w:top w:val="single" w:color="B8C6D6" w:sz="4"/>
              <w:left w:val="single" w:color="B8C6D6" w:sz="4"/>
              <w:bottom w:val="single" w:color="B8C6D6" w:sz="4"/>
              <w:right w:val="single" w:color="B8C6D6" w:sz="4"/>
            </w:tcBorders>
            <w:shd w:fill="EAF1F8" w:val="clear"/>
            <w:tcMar>
              <w:top w:type="dxa" w:w="100"/>
              <w:left w:type="dxa" w:w="140"/>
              <w:bottom w:type="dxa" w:w="100"/>
              <w:right w:type="dxa" w:w="140"/>
            </w:tcMar>
          </w:tcPr>
          <w:p>
            <w:r>
              <w:rPr>
                <w:b/>
                <w:bCs/>
                <w:color w:val="1A365D"/>
                <w:sz w:val="22"/>
                <w:szCs w:val="22"/>
              </w:rPr>
              <w:t xml:space="preserve">Repair owed: if our last campaign caused harm, name it and what we will do differently</w:t>
            </w:r>
          </w:p>
        </w:tc>
      </w:tr>
      <w:tr>
        <w:tc>
          <w:tcPr>
            <w:tcW w:type="dxa" w:w="10080"/>
            <w:tcBorders>
              <w:top w:val="single" w:color="B8C6D6" w:sz="4"/>
              <w:left w:val="single" w:color="B8C6D6" w:sz="4"/>
              <w:bottom w:val="single" w:color="B8C6D6" w:sz="4"/>
              <w:right w:val="single" w:color="B8C6D6" w:sz="4"/>
            </w:tcBorders>
            <w:shd w:fill="F0F6FC" w:val="clear"/>
            <w:tcMar>
              <w:top w:type="dxa" w:w="140"/>
              <w:left w:type="dxa" w:w="140"/>
              <w:bottom w:type="dxa" w:w="140"/>
              <w:right w:type="dxa" w:w="140"/>
            </w:tcMar>
          </w:tcPr>
          <w:p>
            <w:r>
              <w:rPr>
                <w:i/>
                <w:iCs/>
                <w:color w:val="4B5E73"/>
                <w:sz w:val="20"/>
                <w:szCs w:val="20"/>
              </w:rPr>
              <w:t xml:space="preserve">Be specific. Generic apologies are not repair.</w:t>
            </w:r>
          </w:p>
        </w:tc>
      </w:tr>
    </w:tbl>
    <w:p>
      <w:pPr>
        <w:spacing w:after="24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B8C6D6" w:sz="4"/>
              <w:left w:val="single" w:color="B8C6D6" w:sz="4"/>
              <w:bottom w:val="single" w:color="B8C6D6" w:sz="4"/>
              <w:right w:val="single" w:color="B8C6D6" w:sz="4"/>
            </w:tcBorders>
            <w:shd w:fill="EAF1F8" w:val="clear"/>
            <w:tcMar>
              <w:top w:type="dxa" w:w="200"/>
              <w:left w:type="dxa" w:w="220"/>
              <w:bottom w:type="dxa" w:w="200"/>
              <w:right w:type="dxa" w:w="220"/>
            </w:tcMar>
          </w:tcPr>
          <w:p>
            <w:r>
              <w:rPr>
                <w:b/>
                <w:bCs/>
                <w:color w:val="1A365D"/>
              </w:rPr>
              <w:t xml:space="preserve">Decision quality check.  </w:t>
            </w:r>
          </w:p>
          <w:p>
            <w:r>
              <w:rPr>
                <w:sz w:val="22"/>
                <w:szCs w:val="22"/>
              </w:rPr>
              <w:t xml:space="preserve">Before you adjourn: (1) Did the most-impacted people in this county shape the choice? (2) Was at least one dissent named by name? (3) Can each person in the room say what they are responsible for in the next 7 days? If any answer is no, the decision is not yet ready. Schedule one more meeting.</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4B5E73"/>
        <w:sz w:val="16"/>
        <w:szCs w:val="16"/>
      </w:rPr>
      <w:t xml:space="preserve">Theory Selection Worksheet  ·  </w:t>
    </w:r>
    <w:r>
      <w:rPr>
        <w:color w:val="4B5E73"/>
        <w:sz w:val="16"/>
        <w:szCs w:val="16"/>
      </w:rPr>
      <w:t xml:space="preserve">Datos Lab  ·  GA County Town Halls 2026  ·  Page </w:t>
    </w:r>
    <w:r>
      <w:rPr>
        <w:color w:val="4B5E73"/>
        <w:sz w:val="16"/>
        <w:szCs w:val="16"/>
      </w:rPr>
      <w:fldChar w:fldCharType="begin"/>
      <w:instrText xml:space="preserve">PAGE</w:instrText>
      <w:fldChar w:fldCharType="separate"/>
      <w:fldChar w:fldCharType="end"/>
    </w:r>
    <w:r>
      <w:rPr>
        <w:color w:val="4B5E73"/>
        <w:sz w:val="16"/>
        <w:szCs w:val="16"/>
      </w:rPr>
      <w:t xml:space="preserve"> of </w:t>
    </w:r>
    <w:r>
      <w:rPr>
        <w:color w:val="4B5E73"/>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1080" w:hanging="270"/>
      </w:pPr>
    </w:lvl>
  </w:abstractNum>
  <w:abstractNum w:abstractNumId="3" w15:restartNumberingAfterBreak="0">
    <w:multiLevelType w:val="hybridMultilevel"/>
    <w:lvl w:ilvl="0" w15:tentative="1">
      <w:start w:val="1"/>
      <w:numFmt w:val="decimal"/>
      <w:lvlText w:val="%1."/>
      <w:lvlJc w:val="left"/>
      <w:pPr>
        <w:ind w:left="540" w:hanging="360"/>
      </w:pPr>
    </w:lvl>
  </w:abstractNum>
  <w:abstractNum w:abstractNumId="4"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120" w:before="0"/>
    </w:pPr>
    <w:rPr>
      <w:rFonts w:ascii="Calibri" w:cs="Calibri" w:eastAsia="Calibri" w:hAnsi="Calibri"/>
      <w:b/>
      <w:bCs/>
      <w:color w:val="1F4E79"/>
      <w:sz w:val="56"/>
      <w:szCs w:val="56"/>
    </w:rPr>
  </w:style>
  <w:style w:type="paragraph" w:styleId="Subtitle">
    <w:name w:val="Subtitle"/>
    <w:basedOn w:val="Normal"/>
    <w:next w:val="Normal"/>
    <w:pPr>
      <w:spacing w:after="240" w:before="0"/>
    </w:pPr>
    <w:rPr>
      <w:rFonts w:ascii="Calibri" w:cs="Calibri" w:eastAsia="Calibri" w:hAnsi="Calibri"/>
      <w:i/>
      <w:iCs/>
      <w:color w:val="4B5E73"/>
      <w:sz w:val="22"/>
      <w:szCs w:val="22"/>
    </w:rPr>
  </w:style>
  <w:style w:type="paragraph" w:styleId="Heading1">
    <w:name w:val="Heading 1"/>
    <w:basedOn w:val="Normal"/>
    <w:next w:val="Normal"/>
    <w:qFormat/>
    <w:pPr>
      <w:spacing w:after="120" w:before="360"/>
      <w:outlineLvl w:val="0"/>
    </w:pPr>
    <w:rPr>
      <w:rFonts w:ascii="Calibri" w:cs="Calibri" w:eastAsia="Calibri" w:hAnsi="Calibri"/>
      <w:b/>
      <w:bCs/>
      <w:color w:val="1A365D"/>
      <w:sz w:val="32"/>
      <w:szCs w:val="32"/>
    </w:rPr>
  </w:style>
  <w:style w:type="paragraph" w:styleId="Heading2">
    <w:name w:val="Heading 2"/>
    <w:basedOn w:val="Normal"/>
    <w:next w:val="Normal"/>
    <w:qFormat/>
    <w:pPr>
      <w:spacing w:after="80" w:before="240"/>
      <w:outlineLvl w:val="1"/>
    </w:pPr>
    <w:rPr>
      <w:rFonts w:ascii="Calibri" w:cs="Calibri" w:eastAsia="Calibri" w:hAnsi="Calibri"/>
      <w:b/>
      <w:bCs/>
      <w:color w:val="1F4E79"/>
      <w:sz w:val="26"/>
      <w:szCs w:val="26"/>
    </w:rPr>
  </w:style>
  <w:style w:type="paragraph" w:styleId="Heading3">
    <w:name w:val="Heading 3"/>
    <w:basedOn w:val="Normal"/>
    <w:next w:val="Normal"/>
    <w:qFormat/>
    <w:pPr>
      <w:spacing w:after="60" w:before="160"/>
      <w:outlineLvl w:val="2"/>
    </w:pPr>
    <w:rPr>
      <w:rFonts w:ascii="Calibri" w:cs="Calibri" w:eastAsia="Calibri" w:hAnsi="Calibri"/>
      <w:b/>
      <w:bCs/>
      <w:color w:val="1F2937"/>
      <w:sz w:val="22"/>
      <w:szCs w:val="22"/>
    </w:rPr>
  </w:style>
  <w:style w:type="paragraph" w:styleId="Caption">
    <w:name w:val="Caption"/>
    <w:basedOn w:val="Normal"/>
    <w:next w:val="Normal"/>
    <w:pPr>
      <w:spacing w:after="80" w:before="0"/>
    </w:pPr>
    <w:rPr>
      <w:rFonts w:ascii="Calibri" w:cs="Calibri" w:eastAsia="Calibri" w:hAnsi="Calibri"/>
      <w:i/>
      <w:iCs/>
      <w:color w:val="4B5E73"/>
      <w:sz w:val="18"/>
      <w:szCs w:val="18"/>
    </w:rPr>
  </w:style>
  <w:style w:type="paragraph" w:styleId="Quote">
    <w:name w:val="Quote"/>
    <w:basedOn w:val="Normal"/>
    <w:next w:val="Normal"/>
    <w:pPr>
      <w:spacing w:after="120" w:before="120"/>
      <w:ind w:left="360"/>
    </w:pPr>
    <w:rPr>
      <w:rFonts w:ascii="Calibri" w:cs="Calibri" w:eastAsia="Calibri" w:hAnsi="Calibri"/>
      <w:i/>
      <w:iCs/>
      <w:color w:val="1F2937"/>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2026-05-02T14:08:19.587Z</dcterms:created>
  <dcterms:modified xsi:type="dcterms:W3CDTF">2026-05-02T14:08:19.587Z</dcterms:modified>
</cp:coreProperties>
</file>

<file path=docProps/custom.xml><?xml version="1.0" encoding="utf-8"?>
<Properties xmlns="http://schemas.openxmlformats.org/officeDocument/2006/custom-properties" xmlns:vt="http://schemas.openxmlformats.org/officeDocument/2006/docPropsVTypes"/>
</file>